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90"/>
        <w:gridCol w:w="417"/>
        <w:gridCol w:w="1591"/>
        <w:gridCol w:w="1210"/>
        <w:gridCol w:w="4254"/>
      </w:tblGrid>
      <w:tr w:rsidR="009A0753" w:rsidTr="00AE0447">
        <w:trPr>
          <w:trHeight w:val="737"/>
        </w:trPr>
        <w:tc>
          <w:tcPr>
            <w:tcW w:w="3707" w:type="dxa"/>
            <w:gridSpan w:val="2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gridSpan w:val="3"/>
            <w:vAlign w:val="center"/>
          </w:tcPr>
          <w:p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C7297E" w:rsidRPr="00C7297E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BROMATOLOGIA </w:t>
            </w:r>
            <w:r w:rsidR="005D5350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E</w:t>
            </w:r>
            <w:r w:rsidR="00C7297E" w:rsidRPr="00C7297E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MICOTOXINA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5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450D6A" w:rsidTr="00450D6A">
        <w:trPr>
          <w:trHeight w:val="227"/>
        </w:trPr>
        <w:tc>
          <w:tcPr>
            <w:tcW w:w="6508" w:type="dxa"/>
            <w:gridSpan w:val="4"/>
            <w:shd w:val="clear" w:color="auto" w:fill="auto"/>
            <w:vAlign w:val="center"/>
          </w:tcPr>
          <w:p w:rsidR="00450D6A" w:rsidRPr="000355A4" w:rsidRDefault="00450D6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4254" w:type="dxa"/>
            <w:shd w:val="clear" w:color="auto" w:fill="auto"/>
            <w:vAlign w:val="center"/>
          </w:tcPr>
          <w:p w:rsidR="00450D6A" w:rsidRPr="000355A4" w:rsidRDefault="00450D6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254" w:type="dxa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C45E7C" w:rsidTr="00AE0447">
        <w:trPr>
          <w:trHeight w:val="227"/>
        </w:trPr>
        <w:tc>
          <w:tcPr>
            <w:tcW w:w="6508" w:type="dxa"/>
            <w:gridSpan w:val="4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254" w:type="dxa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C45E7C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254" w:type="dxa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450D6A" w:rsidTr="00450D6A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450D6A" w:rsidRPr="000355A4" w:rsidRDefault="00450D6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1"/>
        <w:tc>
          <w:tcPr>
            <w:tcW w:w="2801" w:type="dxa"/>
            <w:gridSpan w:val="2"/>
            <w:shd w:val="clear" w:color="auto" w:fill="auto"/>
            <w:vAlign w:val="center"/>
          </w:tcPr>
          <w:p w:rsidR="00450D6A" w:rsidRPr="000355A4" w:rsidRDefault="00450D6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50D6A" w:rsidRPr="000355A4" w:rsidRDefault="00450D6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C45E7C" w:rsidTr="00956153">
        <w:trPr>
          <w:trHeight w:val="227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:rsidTr="00AE0447">
        <w:trPr>
          <w:trHeight w:val="227"/>
        </w:trPr>
        <w:tc>
          <w:tcPr>
            <w:tcW w:w="370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Farinha de carne</w:t>
            </w:r>
          </w:p>
        </w:tc>
        <w:tc>
          <w:tcPr>
            <w:tcW w:w="28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Farelo de trigo</w:t>
            </w:r>
          </w:p>
        </w:tc>
        <w:tc>
          <w:tcPr>
            <w:tcW w:w="425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Milho</w:t>
            </w:r>
          </w:p>
        </w:tc>
      </w:tr>
      <w:tr w:rsidR="00354FAF" w:rsidTr="00AE0447">
        <w:trPr>
          <w:trHeight w:val="227"/>
        </w:trPr>
        <w:tc>
          <w:tcPr>
            <w:tcW w:w="37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Farinha de penas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Farelo de soja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FAF" w:rsidRPr="000355A4" w:rsidRDefault="00B47F9D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354FAF" w:rsidTr="00AE0447">
        <w:trPr>
          <w:trHeight w:val="227"/>
        </w:trPr>
        <w:tc>
          <w:tcPr>
            <w:tcW w:w="370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Farinha de vísceras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156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7F9D" w:rsidRPr="00B47F9D">
              <w:rPr>
                <w:rFonts w:ascii="Arial" w:hAnsi="Arial" w:cs="Arial"/>
                <w:color w:val="000000" w:themeColor="text1"/>
                <w:sz w:val="18"/>
                <w:szCs w:val="18"/>
              </w:rPr>
              <w:t>Ração</w:t>
            </w:r>
          </w:p>
        </w:tc>
        <w:tc>
          <w:tcPr>
            <w:tcW w:w="42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B0055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Identiﬁcação amostra: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Fabricante: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Marca: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Lote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fabricação: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validade: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83E94" w:rsidTr="00AE0447">
        <w:trPr>
          <w:trHeight w:val="227"/>
        </w:trPr>
        <w:tc>
          <w:tcPr>
            <w:tcW w:w="6508" w:type="dxa"/>
            <w:gridSpan w:val="4"/>
            <w:shd w:val="clear" w:color="auto" w:fill="auto"/>
            <w:vAlign w:val="center"/>
          </w:tcPr>
          <w:p w:rsidR="00F83E94" w:rsidRPr="003536ED" w:rsidRDefault="00F83E94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Responsável pelo Envio: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F83E94" w:rsidRPr="003536ED" w:rsidRDefault="00F83E94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Recebimento: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Data de coleta: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Horário: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254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Responsável Coleta</w:t>
            </w: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3536ED" w:rsidTr="000355A4">
        <w:trPr>
          <w:trHeight w:val="227"/>
        </w:trPr>
        <w:tc>
          <w:tcPr>
            <w:tcW w:w="10762" w:type="dxa"/>
            <w:gridSpan w:val="5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3536ED" w:rsidTr="00EB66AE">
        <w:trPr>
          <w:trHeight w:val="227"/>
        </w:trPr>
        <w:tc>
          <w:tcPr>
            <w:tcW w:w="10762" w:type="dxa"/>
            <w:gridSpan w:val="5"/>
            <w:shd w:val="clear" w:color="auto" w:fill="2F5496" w:themeFill="accent1" w:themeFillShade="BF"/>
            <w:vAlign w:val="center"/>
          </w:tcPr>
          <w:p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7C36A0" w:rsidTr="00AE0447">
        <w:trPr>
          <w:trHeight w:val="282"/>
        </w:trPr>
        <w:tc>
          <w:tcPr>
            <w:tcW w:w="6508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7C36A0" w:rsidRPr="00923E9F" w:rsidRDefault="007C36A0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BROMATOLÓGICAS</w:t>
            </w:r>
          </w:p>
        </w:tc>
        <w:tc>
          <w:tcPr>
            <w:tcW w:w="4254" w:type="dxa"/>
            <w:tcBorders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:rsidR="007C36A0" w:rsidRPr="007C36A0" w:rsidRDefault="007C36A0" w:rsidP="007C36A0">
            <w:pPr>
              <w:pStyle w:val="TableParagraph"/>
              <w:spacing w:before="7" w:line="185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C36A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MICROBIOL</w:t>
            </w:r>
            <w:r w:rsidR="00163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Ó</w:t>
            </w:r>
            <w:r w:rsidRPr="007C36A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GICAS</w:t>
            </w:r>
          </w:p>
        </w:tc>
      </w:tr>
      <w:tr w:rsidR="007C36A0" w:rsidTr="000F2EEC">
        <w:trPr>
          <w:trHeight w:val="5669"/>
        </w:trPr>
        <w:tc>
          <w:tcPr>
            <w:tcW w:w="329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Amido</w:t>
            </w:r>
            <w:proofErr w:type="spellEnd"/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Matriz</w:t>
            </w:r>
            <w:proofErr w:type="spellEnd"/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Vegetal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Atividade de Água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Atividade Ureática (soja e derivados)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Cálcio*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Cinzas 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Cinzas Insolúveis em Ácido Clorídrico (areia e sílica)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Cobalto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Cobre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Classificação de Milho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Cloreto de Sódio*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Cv de Mistura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DGM/DPG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Digestibilidade em Pepsina</w:t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EMP - Energia Metabolizável Perdida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ENN - Extrativo Não Nitrogenado**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Extrato Etéreo 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Fibra Bruta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Fibra em Detergente Ácido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Fibra em Detergente Neutro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Ferro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Fósforo*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Manganês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Magnésio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Granulometria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Impurezas Insolúveis em Éter******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Índice de Acidez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Índice de Peróxidos</w:t>
            </w:r>
          </w:p>
          <w:p w:rsidR="007C36A0" w:rsidRPr="000D349D" w:rsidRDefault="007C36A0" w:rsidP="007C36A0">
            <w:pPr>
              <w:spacing w:line="22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9156F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Lactose</w:t>
            </w:r>
          </w:p>
          <w:p w:rsidR="007C36A0" w:rsidRPr="002401A0" w:rsidRDefault="002401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Lignina***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Matéria seca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NDT - Nutrientes Digestíveis Totais**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NIDA - Nitrogênio Insolúvel em Detergente Ácido***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Nitrogênio Total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NDT - Nutrientes Digestíveis Totais**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NIDA - Nitrogênio Insolúvel em Detergente Ácido***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NIDN - Nitrogênio Insolúvel em Detergente Neutro****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NNP - Nitrogênio Não Proteico*****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pH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Potássio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Proteína Bruta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Rancidez de Kreiss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Sódio*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Solubilidade Proteica (soja e derivados) *****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Teste de Éber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Umidade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Zinco</w:t>
            </w:r>
          </w:p>
          <w:p w:rsidR="007C36A0" w:rsidRPr="007013F5" w:rsidRDefault="00EA581F" w:rsidP="004754F0">
            <w:pPr>
              <w:pStyle w:val="TableParagraph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4" w:color="000000"/>
                <w:between w:val="single" w:sz="4" w:space="1" w:color="000000"/>
                <w:bar w:val="single" w:sz="4" w:color="000000"/>
              </w:pBdr>
              <w:shd w:val="clear" w:color="auto" w:fill="8EAADB" w:themeFill="accent1" w:themeFillTint="99"/>
              <w:spacing w:before="7" w:line="22" w:lineRule="atLeast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MICOTOXINAS</w:t>
            </w:r>
          </w:p>
          <w:p w:rsidR="007C36A0" w:rsidRPr="000D349D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 Aflatoxinas Totais (B1, B2, G1, G2)</w:t>
            </w:r>
          </w:p>
          <w:p w:rsidR="007C36A0" w:rsidRPr="000D349D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 Deoxynivalenol - DON</w:t>
            </w:r>
          </w:p>
          <w:p w:rsidR="007C36A0" w:rsidRPr="000D349D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 Fumonisinas (FB1, FB2, FB3)</w:t>
            </w:r>
          </w:p>
          <w:p w:rsidR="007C36A0" w:rsidRPr="000D349D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 Ocratoxina A</w:t>
            </w:r>
          </w:p>
          <w:p w:rsidR="007C36A0" w:rsidRPr="000D349D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 Toxina T2/HT2</w:t>
            </w:r>
          </w:p>
          <w:p w:rsidR="007C36A0" w:rsidRDefault="007C36A0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  <w:lang w:val="pt-BR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t>Zearalenona</w:t>
            </w:r>
            <w:proofErr w:type="spellEnd"/>
          </w:p>
          <w:p w:rsidR="00F06994" w:rsidRPr="00F06994" w:rsidRDefault="00F06994" w:rsidP="00F06994">
            <w:pPr>
              <w:pStyle w:val="TableParagraph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4" w:color="000000"/>
                <w:between w:val="single" w:sz="4" w:space="1" w:color="000000"/>
                <w:bar w:val="single" w:sz="4" w:color="000000"/>
              </w:pBdr>
              <w:shd w:val="clear" w:color="auto" w:fill="8EAADB" w:themeFill="accent1" w:themeFillTint="99"/>
              <w:spacing w:before="7" w:line="22" w:lineRule="atLeast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PESTICIDAS</w:t>
            </w:r>
          </w:p>
          <w:p w:rsidR="00D65787" w:rsidRPr="007013F5" w:rsidRDefault="00D65787" w:rsidP="004754F0">
            <w:pPr>
              <w:pStyle w:val="TableParagraph"/>
              <w:pBdr>
                <w:left w:val="single" w:sz="4" w:space="1" w:color="000000"/>
              </w:pBdr>
              <w:spacing w:before="7" w:line="22" w:lineRule="atLeas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instrText xml:space="preserve"> FORMCHECKBOX </w:instrText>
            </w:r>
            <w:r w:rsidR="009156FB">
              <w:rPr>
                <w:rFonts w:ascii="Arial" w:hAnsi="Arial" w:cs="Arial"/>
                <w:i/>
                <w:sz w:val="16"/>
                <w:szCs w:val="16"/>
                <w:lang w:val="pt-BR"/>
              </w:rPr>
            </w:r>
            <w:r w:rsidR="009156FB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separate"/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fldChar w:fldCharType="end"/>
            </w:r>
            <w:r w:rsidRPr="000D349D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 </w:t>
            </w:r>
            <w:r w:rsidRPr="00D65787">
              <w:rPr>
                <w:rFonts w:ascii="Arial" w:hAnsi="Arial" w:cs="Arial"/>
                <w:sz w:val="16"/>
                <w:szCs w:val="16"/>
              </w:rPr>
              <w:t>Detecção e Quantificação de Glifosato</w:t>
            </w:r>
          </w:p>
        </w:tc>
        <w:tc>
          <w:tcPr>
            <w:tcW w:w="4254" w:type="dxa"/>
            <w:tcBorders>
              <w:top w:val="single" w:sz="4" w:space="0" w:color="000000"/>
            </w:tcBorders>
          </w:tcPr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Aspergillus fumigatus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Bacillus cereus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Bacillus spp.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Bolores e Leveduras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Bolores e Leveduras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Clostridium perfringens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Clostridium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Sulﬁto Redutor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Coliformes Termotolerantes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Coliformes Termotolerantes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Coliformes Totais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Coliformes Totais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Enterobacteriaceae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 xml:space="preserve">Enterobacteriaceae </w:t>
            </w:r>
            <w:r w:rsidRPr="000D349D">
              <w:rPr>
                <w:rFonts w:ascii="Arial" w:hAnsi="Arial" w:cs="Arial"/>
                <w:sz w:val="16"/>
                <w:szCs w:val="16"/>
              </w:rPr>
              <w:t>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Escherichia coli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Escherichia coli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Microrganismos Mesóﬁlos Aeróbios Viáveis a 30°C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Microrganismos Mesóﬁlos Aeróbios Viáveis a 30°C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Staphylococcus aureus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- PETRIFILM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Contagem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Staphylococcus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Coagulase Positiva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Detecção de Ácaros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Detecção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Salmonella spp.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- ISO 6579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Detecção de </w:t>
            </w:r>
            <w:r w:rsidRPr="000D349D">
              <w:rPr>
                <w:rFonts w:ascii="Arial" w:hAnsi="Arial" w:cs="Arial"/>
                <w:i/>
                <w:sz w:val="16"/>
                <w:szCs w:val="16"/>
              </w:rPr>
              <w:t>Salmonella spp.</w:t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- MDS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NMP de Coliformes Termotolerantes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NMP de Coliformes Totais</w:t>
            </w:r>
          </w:p>
          <w:p w:rsidR="007C36A0" w:rsidRPr="000D349D" w:rsidRDefault="007C36A0" w:rsidP="007C36A0">
            <w:pPr>
              <w:pStyle w:val="TableParagraph"/>
              <w:spacing w:before="7" w:line="22" w:lineRule="atLeast"/>
              <w:rPr>
                <w:rFonts w:ascii="Arial" w:hAnsi="Arial" w:cs="Arial"/>
                <w:sz w:val="16"/>
                <w:szCs w:val="16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Plaqueamento ambiental</w:t>
            </w:r>
          </w:p>
          <w:p w:rsidR="007C36A0" w:rsidRPr="007013F5" w:rsidRDefault="007C36A0" w:rsidP="007C36A0">
            <w:pPr>
              <w:spacing w:line="22" w:lineRule="atLeast"/>
              <w:rPr>
                <w:rFonts w:ascii="Arial" w:hAnsi="Arial" w:cs="Arial"/>
                <w:sz w:val="14"/>
                <w:szCs w:val="14"/>
              </w:rPr>
            </w:pPr>
            <w:r w:rsidRPr="000D3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4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156FB">
              <w:rPr>
                <w:rFonts w:ascii="Arial" w:hAnsi="Arial" w:cs="Arial"/>
                <w:sz w:val="16"/>
                <w:szCs w:val="16"/>
              </w:rPr>
            </w:r>
            <w:r w:rsidR="009156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3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349D">
              <w:rPr>
                <w:rFonts w:ascii="Arial" w:hAnsi="Arial" w:cs="Arial"/>
                <w:sz w:val="16"/>
                <w:szCs w:val="16"/>
              </w:rPr>
              <w:t xml:space="preserve"> Sorotipiﬁcação completa Salmonella</w:t>
            </w:r>
          </w:p>
        </w:tc>
      </w:tr>
      <w:tr w:rsidR="005F41C6" w:rsidTr="00D50C15">
        <w:trPr>
          <w:trHeight w:val="227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5F41C6" w:rsidRPr="00EB66A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AE0447" w:rsidTr="00172799">
        <w:trPr>
          <w:trHeight w:val="283"/>
        </w:trPr>
        <w:tc>
          <w:tcPr>
            <w:tcW w:w="5298" w:type="dxa"/>
            <w:gridSpan w:val="3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4" w:space="0" w:color="000000"/>
            </w:tcBorders>
            <w:vAlign w:val="center"/>
          </w:tcPr>
          <w:p w:rsidR="00AE0447" w:rsidRPr="00AE0447" w:rsidRDefault="00AE0447" w:rsidP="00AE0447">
            <w:pPr>
              <w:pStyle w:val="TableParagraph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realizar a análise de Cinzas.</w:t>
            </w:r>
          </w:p>
          <w:p w:rsidR="00AE0447" w:rsidRPr="00AE0447" w:rsidRDefault="00AE0447" w:rsidP="00AE0447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="00C7297E"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a realização das análises de: Proteína Bruta, Fibra Bruta, Extrato Etéreo, Umidade e Cinzas.</w:t>
            </w:r>
          </w:p>
          <w:p w:rsidR="00AE0447" w:rsidRPr="00AE0447" w:rsidRDefault="00AE0447" w:rsidP="00B201D7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="00C7297E"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realizar a análise de FDA.</w:t>
            </w:r>
          </w:p>
        </w:tc>
        <w:tc>
          <w:tcPr>
            <w:tcW w:w="5464" w:type="dxa"/>
            <w:gridSpan w:val="2"/>
            <w:tcBorders>
              <w:top w:val="single" w:sz="6" w:space="0" w:color="7A7A7A"/>
              <w:left w:val="single" w:sz="4" w:space="0" w:color="000000"/>
              <w:bottom w:val="single" w:sz="6" w:space="0" w:color="7A7A7A"/>
              <w:right w:val="single" w:sz="6" w:space="0" w:color="7A7A7A"/>
            </w:tcBorders>
            <w:vAlign w:val="center"/>
          </w:tcPr>
          <w:p w:rsidR="00AE0447" w:rsidRPr="00AE0447" w:rsidRDefault="00AE0447" w:rsidP="00AE0447">
            <w:pPr>
              <w:pStyle w:val="TableParagraph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="00C7297E"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realizar a análise de FDN.</w:t>
            </w:r>
          </w:p>
          <w:p w:rsidR="00AE0447" w:rsidRPr="00AE0447" w:rsidRDefault="00AE0447" w:rsidP="00AE0447">
            <w:pPr>
              <w:pStyle w:val="TableParagraph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="00C7297E"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também incluir a análise Proteína Bruta. Informar a concentração desejada da análise na observação do formulário (0,02% – 0,002% – 0,0002%).</w:t>
            </w:r>
          </w:p>
          <w:p w:rsidR="00AE0447" w:rsidRPr="000C31F5" w:rsidRDefault="00AE0447" w:rsidP="00AE0447">
            <w:pPr>
              <w:pStyle w:val="TableParagraph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****** </w:t>
            </w:r>
            <w:r w:rsidR="00C7297E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r w:rsidR="00C7297E"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Pr="00AE044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também incluir a análise de Umidade.</w:t>
            </w:r>
          </w:p>
        </w:tc>
      </w:tr>
      <w:tr w:rsidR="005F41C6" w:rsidTr="00EB66AE">
        <w:trPr>
          <w:trHeight w:val="227"/>
        </w:trPr>
        <w:tc>
          <w:tcPr>
            <w:tcW w:w="10762" w:type="dxa"/>
            <w:gridSpan w:val="5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5F41C6" w:rsidRPr="00EB66AE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5F41C6" w:rsidRPr="000355A4" w:rsidTr="00354FAF">
        <w:trPr>
          <w:trHeight w:val="227"/>
        </w:trPr>
        <w:tc>
          <w:tcPr>
            <w:tcW w:w="10762" w:type="dxa"/>
            <w:gridSpan w:val="5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5F41C6" w:rsidRPr="000355A4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54" w:type="dxa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5F41C6" w:rsidRPr="000355A4" w:rsidTr="00AE0447">
        <w:trPr>
          <w:trHeight w:val="227"/>
        </w:trPr>
        <w:tc>
          <w:tcPr>
            <w:tcW w:w="6508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54" w:type="dxa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5F41C6" w:rsidRPr="000355A4" w:rsidTr="00AE0447">
        <w:trPr>
          <w:trHeight w:val="227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254" w:type="dxa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6"/>
          </w:p>
        </w:tc>
      </w:tr>
      <w:tr w:rsidR="005F41C6" w:rsidRPr="000355A4" w:rsidTr="00AE0447">
        <w:trPr>
          <w:trHeight w:val="227"/>
        </w:trPr>
        <w:tc>
          <w:tcPr>
            <w:tcW w:w="6508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254" w:type="dxa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</w:tr>
      <w:tr w:rsidR="005F41C6" w:rsidRPr="000355A4" w:rsidTr="00AE0447">
        <w:trPr>
          <w:trHeight w:val="1417"/>
        </w:trPr>
        <w:tc>
          <w:tcPr>
            <w:tcW w:w="3707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2801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:rsidR="005F41C6" w:rsidRPr="003D5B1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4254" w:type="dxa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:rsidR="00773D61" w:rsidRPr="00773D61" w:rsidRDefault="00EC2A7C" w:rsidP="00F06994">
      <w:pPr>
        <w:tabs>
          <w:tab w:val="left" w:pos="9675"/>
          <w:tab w:val="left" w:pos="10080"/>
        </w:tabs>
      </w:pPr>
      <w:r>
        <w:tab/>
      </w:r>
    </w:p>
    <w:p w:rsidR="00E27592" w:rsidRPr="00773D61" w:rsidRDefault="00450D6A" w:rsidP="00EA581F">
      <w:pPr>
        <w:tabs>
          <w:tab w:val="left" w:pos="9750"/>
          <w:tab w:val="right" w:pos="10772"/>
        </w:tabs>
      </w:pPr>
      <w:r>
        <w:tab/>
      </w:r>
      <w:r w:rsidR="00EA581F">
        <w:tab/>
      </w:r>
    </w:p>
    <w:sectPr w:rsidR="00E27592" w:rsidRPr="00773D61" w:rsidSect="00295AB4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FB" w:rsidRDefault="009156FB" w:rsidP="00822A7A">
      <w:pPr>
        <w:spacing w:after="0" w:line="240" w:lineRule="auto"/>
      </w:pPr>
      <w:r>
        <w:separator/>
      </w:r>
    </w:p>
  </w:endnote>
  <w:endnote w:type="continuationSeparator" w:id="0">
    <w:p w:rsidR="009156FB" w:rsidRDefault="009156FB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:rsidTr="00B44ABA">
      <w:tc>
        <w:tcPr>
          <w:tcW w:w="5381" w:type="dxa"/>
        </w:tcPr>
        <w:p w:rsidR="0045566D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45566D" w:rsidRPr="00F31515" w:rsidRDefault="008943AA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F06994">
            <w:rPr>
              <w:sz w:val="20"/>
              <w:szCs w:val="20"/>
            </w:rPr>
            <w:t>26</w:t>
          </w:r>
          <w:r w:rsidR="00773D61">
            <w:rPr>
              <w:sz w:val="20"/>
              <w:szCs w:val="20"/>
            </w:rPr>
            <w:t>.</w:t>
          </w:r>
          <w:r w:rsidR="00F06994">
            <w:rPr>
              <w:sz w:val="20"/>
              <w:szCs w:val="20"/>
            </w:rPr>
            <w:t>02</w:t>
          </w:r>
          <w:r w:rsidR="00773D61">
            <w:rPr>
              <w:sz w:val="20"/>
              <w:szCs w:val="20"/>
            </w:rPr>
            <w:t>.202</w:t>
          </w:r>
          <w:r w:rsidR="00F06994">
            <w:rPr>
              <w:sz w:val="20"/>
              <w:szCs w:val="20"/>
            </w:rPr>
            <w:t>6</w:t>
          </w:r>
        </w:p>
      </w:tc>
    </w:tr>
  </w:tbl>
  <w:p w:rsidR="0045566D" w:rsidRDefault="0045566D">
    <w:pPr>
      <w:pStyle w:val="Rodap"/>
    </w:pPr>
  </w:p>
  <w:p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FB" w:rsidRDefault="009156FB" w:rsidP="00822A7A">
      <w:pPr>
        <w:spacing w:after="0" w:line="240" w:lineRule="auto"/>
      </w:pPr>
      <w:r>
        <w:separator/>
      </w:r>
    </w:p>
  </w:footnote>
  <w:footnote w:type="continuationSeparator" w:id="0">
    <w:p w:rsidR="009156FB" w:rsidRDefault="009156FB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Fa7jBW5p7oZqr6I6vEIlW7Fgr50ngkfH0xR9nNRqjP6eMhoEhr9lzPAcu5P2Vk557fWbvQyru7682iIetFmJg==" w:salt="DE1lORC2Hq28Zri/qNq9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77D4"/>
    <w:rsid w:val="00094C06"/>
    <w:rsid w:val="000D349D"/>
    <w:rsid w:val="000D7937"/>
    <w:rsid w:val="000E6698"/>
    <w:rsid w:val="000F2EEC"/>
    <w:rsid w:val="00144BB6"/>
    <w:rsid w:val="00145564"/>
    <w:rsid w:val="00151223"/>
    <w:rsid w:val="00163CA7"/>
    <w:rsid w:val="001B3641"/>
    <w:rsid w:val="001D5D42"/>
    <w:rsid w:val="00206AD6"/>
    <w:rsid w:val="002340B4"/>
    <w:rsid w:val="002401A0"/>
    <w:rsid w:val="002756F4"/>
    <w:rsid w:val="00286C14"/>
    <w:rsid w:val="00295AB4"/>
    <w:rsid w:val="0029673A"/>
    <w:rsid w:val="002A050C"/>
    <w:rsid w:val="002A5D20"/>
    <w:rsid w:val="002B2038"/>
    <w:rsid w:val="002D12FE"/>
    <w:rsid w:val="002D3EF3"/>
    <w:rsid w:val="003027D7"/>
    <w:rsid w:val="003536ED"/>
    <w:rsid w:val="00354FAF"/>
    <w:rsid w:val="003571BD"/>
    <w:rsid w:val="00370476"/>
    <w:rsid w:val="00386A35"/>
    <w:rsid w:val="003A2A50"/>
    <w:rsid w:val="003D1767"/>
    <w:rsid w:val="003D5B1E"/>
    <w:rsid w:val="003E5361"/>
    <w:rsid w:val="00447D44"/>
    <w:rsid w:val="00450D6A"/>
    <w:rsid w:val="0045566D"/>
    <w:rsid w:val="004754F0"/>
    <w:rsid w:val="004844E2"/>
    <w:rsid w:val="004F08ED"/>
    <w:rsid w:val="00524F4C"/>
    <w:rsid w:val="00565FB9"/>
    <w:rsid w:val="005844F2"/>
    <w:rsid w:val="005D5350"/>
    <w:rsid w:val="005F41C6"/>
    <w:rsid w:val="006048B8"/>
    <w:rsid w:val="00615EC5"/>
    <w:rsid w:val="00632080"/>
    <w:rsid w:val="0065650D"/>
    <w:rsid w:val="00657B19"/>
    <w:rsid w:val="0066005A"/>
    <w:rsid w:val="006718C5"/>
    <w:rsid w:val="0067557B"/>
    <w:rsid w:val="00675EC5"/>
    <w:rsid w:val="00682593"/>
    <w:rsid w:val="00690FF7"/>
    <w:rsid w:val="00691643"/>
    <w:rsid w:val="006D39B2"/>
    <w:rsid w:val="006E1CB6"/>
    <w:rsid w:val="007013F5"/>
    <w:rsid w:val="00711176"/>
    <w:rsid w:val="00773D61"/>
    <w:rsid w:val="00775032"/>
    <w:rsid w:val="00777591"/>
    <w:rsid w:val="007C1236"/>
    <w:rsid w:val="007C36A0"/>
    <w:rsid w:val="008158AD"/>
    <w:rsid w:val="00822A7A"/>
    <w:rsid w:val="00861A15"/>
    <w:rsid w:val="00865259"/>
    <w:rsid w:val="008943AA"/>
    <w:rsid w:val="008959E0"/>
    <w:rsid w:val="008B5074"/>
    <w:rsid w:val="008E5B70"/>
    <w:rsid w:val="009156FB"/>
    <w:rsid w:val="00923E9F"/>
    <w:rsid w:val="00942917"/>
    <w:rsid w:val="00956153"/>
    <w:rsid w:val="00967C85"/>
    <w:rsid w:val="009A0753"/>
    <w:rsid w:val="009D5F42"/>
    <w:rsid w:val="009F2843"/>
    <w:rsid w:val="009F2C87"/>
    <w:rsid w:val="00A42747"/>
    <w:rsid w:val="00A6360F"/>
    <w:rsid w:val="00A701EF"/>
    <w:rsid w:val="00A964DA"/>
    <w:rsid w:val="00AA3779"/>
    <w:rsid w:val="00AB0055"/>
    <w:rsid w:val="00AD279E"/>
    <w:rsid w:val="00AE0447"/>
    <w:rsid w:val="00AF708F"/>
    <w:rsid w:val="00B201D7"/>
    <w:rsid w:val="00B44ABA"/>
    <w:rsid w:val="00B47F9D"/>
    <w:rsid w:val="00B520CD"/>
    <w:rsid w:val="00B615FC"/>
    <w:rsid w:val="00B6198F"/>
    <w:rsid w:val="00B700CC"/>
    <w:rsid w:val="00B74FF5"/>
    <w:rsid w:val="00BB740A"/>
    <w:rsid w:val="00BE06F1"/>
    <w:rsid w:val="00C21999"/>
    <w:rsid w:val="00C22919"/>
    <w:rsid w:val="00C360AD"/>
    <w:rsid w:val="00C45E7C"/>
    <w:rsid w:val="00C668DC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D12837"/>
    <w:rsid w:val="00D31B3A"/>
    <w:rsid w:val="00D50C15"/>
    <w:rsid w:val="00D65787"/>
    <w:rsid w:val="00D74DE5"/>
    <w:rsid w:val="00E27592"/>
    <w:rsid w:val="00E63D29"/>
    <w:rsid w:val="00E64A18"/>
    <w:rsid w:val="00E72299"/>
    <w:rsid w:val="00EA581F"/>
    <w:rsid w:val="00EB66AE"/>
    <w:rsid w:val="00EC067F"/>
    <w:rsid w:val="00EC2A7C"/>
    <w:rsid w:val="00EC3EFD"/>
    <w:rsid w:val="00EE1FD4"/>
    <w:rsid w:val="00F02472"/>
    <w:rsid w:val="00F06994"/>
    <w:rsid w:val="00F1799B"/>
    <w:rsid w:val="00F31515"/>
    <w:rsid w:val="00F83E94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2C3DD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1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CDCB-2FA5-4CEE-874E-82679045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32</cp:revision>
  <cp:lastPrinted>2025-10-07T17:40:00Z</cp:lastPrinted>
  <dcterms:created xsi:type="dcterms:W3CDTF">2025-10-07T17:22:00Z</dcterms:created>
  <dcterms:modified xsi:type="dcterms:W3CDTF">2026-02-26T11:07:00Z</dcterms:modified>
</cp:coreProperties>
</file>